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5E5" w:rsidRDefault="00E575E5" w:rsidP="00E575E5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Зарегистрировано в Минюсте России 22 апреля 2025 г. N 81928</w:t>
      </w:r>
    </w:p>
    <w:p w:rsidR="00E575E5" w:rsidRDefault="00E575E5" w:rsidP="00E575E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i/>
          <w:iCs/>
          <w:sz w:val="2"/>
          <w:szCs w:val="2"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НАУКИ И ВЫСШЕГО ОБРАЗОВАНИЯ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марта 2025 г. N 266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И ОСУЩЕСТВЛЕНИЯ ОБРАЗОВАТЕЛЬНОЙ ДЕЯТЕЛЬНОСТИ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ДОПОЛНИТЕЛЬНЫМ ПРОФЕССИОНАЛЬНЫМ ПРОГРАММАМ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В соответствии с </w:t>
      </w:r>
      <w:hyperlink r:id="rId4" w:history="1">
        <w:r>
          <w:rPr>
            <w:rFonts w:ascii="Calibri" w:hAnsi="Calibri" w:cs="Calibri"/>
            <w:i/>
            <w:iCs/>
            <w:color w:val="0000FF"/>
          </w:rPr>
          <w:t>частью 11 статьи 13</w:t>
        </w:r>
      </w:hyperlink>
      <w:r>
        <w:rPr>
          <w:rFonts w:ascii="Calibri" w:hAnsi="Calibri" w:cs="Calibri"/>
          <w:i/>
          <w:iCs/>
        </w:rPr>
        <w:t xml:space="preserve"> Федерального закона от 29 декабря 2012 г. N 273-ФЗ "Об образовании в Российской Федерации" и </w:t>
      </w:r>
      <w:hyperlink r:id="rId5" w:history="1">
        <w:r>
          <w:rPr>
            <w:rFonts w:ascii="Calibri" w:hAnsi="Calibri" w:cs="Calibri"/>
            <w:i/>
            <w:iCs/>
            <w:color w:val="0000FF"/>
          </w:rPr>
          <w:t>подпунктом 4.2.6 пункта 4</w:t>
        </w:r>
      </w:hyperlink>
      <w:r>
        <w:rPr>
          <w:rFonts w:ascii="Calibri" w:hAnsi="Calibri" w:cs="Calibri"/>
          <w:i/>
          <w:iCs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1. Утвердить по согласованию с Министерством просвещения Российской Федерации прилагаемый </w:t>
      </w:r>
      <w:hyperlink w:anchor="Par33" w:history="1">
        <w:r>
          <w:rPr>
            <w:rFonts w:ascii="Calibri" w:hAnsi="Calibri" w:cs="Calibri"/>
            <w:i/>
            <w:iCs/>
            <w:color w:val="0000FF"/>
          </w:rPr>
          <w:t>Порядок</w:t>
        </w:r>
      </w:hyperlink>
      <w:r>
        <w:rPr>
          <w:rFonts w:ascii="Calibri" w:hAnsi="Calibri" w:cs="Calibri"/>
          <w:i/>
          <w:iCs/>
        </w:rP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2. Признать утратившими силу приказы Министерства образования и науки Российской Федерации: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от 1 июля 2013 г. </w:t>
      </w:r>
      <w:hyperlink r:id="rId6" w:history="1">
        <w:r>
          <w:rPr>
            <w:rFonts w:ascii="Calibri" w:hAnsi="Calibri" w:cs="Calibri"/>
            <w:i/>
            <w:iCs/>
            <w:color w:val="0000FF"/>
          </w:rPr>
          <w:t>N 499</w:t>
        </w:r>
      </w:hyperlink>
      <w:r>
        <w:rPr>
          <w:rFonts w:ascii="Calibri" w:hAnsi="Calibri" w:cs="Calibri"/>
          <w:i/>
          <w:iCs/>
        </w:rPr>
        <w:t xml:space="preserve">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от 15 ноября 2013 г. </w:t>
      </w:r>
      <w:hyperlink r:id="rId7" w:history="1">
        <w:r>
          <w:rPr>
            <w:rFonts w:ascii="Calibri" w:hAnsi="Calibri" w:cs="Calibri"/>
            <w:i/>
            <w:iCs/>
            <w:color w:val="0000FF"/>
          </w:rPr>
          <w:t>N 1244</w:t>
        </w:r>
      </w:hyperlink>
      <w:r>
        <w:rPr>
          <w:rFonts w:ascii="Calibri" w:hAnsi="Calibri" w:cs="Calibri"/>
          <w:i/>
          <w:iCs/>
        </w:rPr>
        <w:t xml:space="preserve"> "О внесении изменений в 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2013 г. N 499" (зарегистрирован Министерством юстиции Российской Федерации 14 января 2014 г., регистрационный N 31014).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3. Настоящий приказ вступает в силу с 1 сентября 2025 года и действует до 1 сентября 2031 года.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Министр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В.Н.ФАЛЬКОВ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Утвержден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приказом Министерства науки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и высшего образования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Российской Федерации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от 24 марта 2025 г. N 266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3"/>
      <w:bookmarkEnd w:id="0"/>
      <w:r>
        <w:rPr>
          <w:rFonts w:ascii="Calibri" w:hAnsi="Calibri" w:cs="Calibri"/>
          <w:b/>
          <w:bCs/>
        </w:rPr>
        <w:t>ПОРЯДОК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И ОСУЩЕСТВЛЕНИЯ ОБРАЗОВАТЕЛЬНОЙ ДЕЯТЕЛЬНОСТИ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ДОПОЛНИТЕЛЬНЫМ ПРОФЕССИОНАЛЬНЫМ ПРОГРАММАМ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1. Настоящий Порядок является обязательным для организаций дополнительного профессионального образования,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2. Прием на обучение по дополнительным профессиональным программам проводится на условиях, определяемых локальными нормативными актами организаций в соответствии с законодательством Российской Федерации &lt;1&gt;.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&lt;1&gt; </w:t>
      </w:r>
      <w:hyperlink r:id="rId8" w:history="1">
        <w:r>
          <w:rPr>
            <w:rFonts w:ascii="Calibri" w:hAnsi="Calibri" w:cs="Calibri"/>
            <w:i/>
            <w:iCs/>
            <w:color w:val="0000FF"/>
          </w:rPr>
          <w:t>Часть 5 статьи 55</w:t>
        </w:r>
      </w:hyperlink>
      <w:r>
        <w:rPr>
          <w:rFonts w:ascii="Calibri" w:hAnsi="Calibri" w:cs="Calibri"/>
          <w:i/>
          <w:iCs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3. Организация осуществляет образовательную деятельность по дополнительной профессиональной программе на основании договора об образовании, заключаемого в простой письменной форме &lt;2&gt; с лицом, зачисляемым на обучение,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&lt;2&gt; </w:t>
      </w:r>
      <w:hyperlink r:id="rId9" w:history="1">
        <w:r>
          <w:rPr>
            <w:rFonts w:ascii="Calibri" w:hAnsi="Calibri" w:cs="Calibri"/>
            <w:i/>
            <w:iCs/>
            <w:color w:val="0000FF"/>
          </w:rPr>
          <w:t>Часть 1 статьи 54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4. К освоению дополнительных профессиональных программ допускаются: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лица, имеющие среднее профессиональное и (или) высшее образование;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лица, получающие среднее профессиональное и (или) высшее образование &lt;3&gt;.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&lt;3&gt; </w:t>
      </w:r>
      <w:hyperlink r:id="rId10" w:history="1">
        <w:r>
          <w:rPr>
            <w:rFonts w:ascii="Calibri" w:hAnsi="Calibri" w:cs="Calibri"/>
            <w:i/>
            <w:iCs/>
            <w:color w:val="0000FF"/>
          </w:rPr>
          <w:t>Часть 3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5.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&lt;4&gt;.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&lt;4&gt; </w:t>
      </w:r>
      <w:hyperlink r:id="rId11" w:history="1">
        <w:r>
          <w:rPr>
            <w:rFonts w:ascii="Calibri" w:hAnsi="Calibri" w:cs="Calibri"/>
            <w:i/>
            <w:iCs/>
            <w:color w:val="0000FF"/>
          </w:rPr>
          <w:t>Часть 2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&lt;5&gt;.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&lt;5&gt; </w:t>
      </w:r>
      <w:hyperlink r:id="rId12" w:history="1">
        <w:r>
          <w:rPr>
            <w:rFonts w:ascii="Calibri" w:hAnsi="Calibri" w:cs="Calibri"/>
            <w:i/>
            <w:iCs/>
            <w:color w:val="0000FF"/>
          </w:rPr>
          <w:t>Часть 4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&lt;6&gt;.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&lt;6&gt; </w:t>
      </w:r>
      <w:hyperlink r:id="rId13" w:history="1">
        <w:r>
          <w:rPr>
            <w:rFonts w:ascii="Calibri" w:hAnsi="Calibri" w:cs="Calibri"/>
            <w:i/>
            <w:iCs/>
            <w:color w:val="0000FF"/>
          </w:rPr>
          <w:t>Часть 5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6.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7. Содержание реализуемой дополнительной профессиональной программы должно учитывать профессиональные </w:t>
      </w:r>
      <w:hyperlink r:id="rId14" w:history="1">
        <w:r>
          <w:rPr>
            <w:rFonts w:ascii="Calibri" w:hAnsi="Calibri" w:cs="Calibri"/>
            <w:i/>
            <w:iCs/>
            <w:color w:val="0000FF"/>
          </w:rPr>
          <w:t>стандарты</w:t>
        </w:r>
      </w:hyperlink>
      <w:r>
        <w:rPr>
          <w:rFonts w:ascii="Calibri" w:hAnsi="Calibri" w:cs="Calibri"/>
          <w:i/>
          <w:iCs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&lt;7&gt;.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&lt;7&gt; </w:t>
      </w:r>
      <w:hyperlink r:id="rId15" w:history="1">
        <w:r>
          <w:rPr>
            <w:rFonts w:ascii="Calibri" w:hAnsi="Calibri" w:cs="Calibri"/>
            <w:i/>
            <w:iCs/>
            <w:color w:val="0000FF"/>
          </w:rPr>
          <w:t>Часть 9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8.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r:id="rId16" w:history="1">
        <w:r>
          <w:rPr>
            <w:rFonts w:ascii="Calibri" w:hAnsi="Calibri" w:cs="Calibri"/>
            <w:i/>
            <w:iCs/>
            <w:color w:val="0000FF"/>
          </w:rPr>
          <w:t>законом</w:t>
        </w:r>
      </w:hyperlink>
      <w:r>
        <w:rPr>
          <w:rFonts w:ascii="Calibri" w:hAnsi="Calibri" w:cs="Calibri"/>
          <w:i/>
          <w:iCs/>
        </w:rPr>
        <w:t xml:space="preserve"> N 273-ФЗ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 &lt;8&gt;.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&lt;8&gt; </w:t>
      </w:r>
      <w:hyperlink r:id="rId17" w:history="1">
        <w:r>
          <w:rPr>
            <w:rFonts w:ascii="Calibri" w:hAnsi="Calibri" w:cs="Calibri"/>
            <w:i/>
            <w:iCs/>
            <w:color w:val="0000FF"/>
          </w:rPr>
          <w:t>Часть 6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Порядок разработки и утверждения дополнительных профессиональных программ (за исключением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&lt;9&gt;) устанавливается локальными нормативными актами организации.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&lt;9&gt; </w:t>
      </w:r>
      <w:hyperlink r:id="rId18" w:history="1">
        <w:r>
          <w:rPr>
            <w:rFonts w:ascii="Calibri" w:hAnsi="Calibri" w:cs="Calibri"/>
            <w:i/>
            <w:iCs/>
            <w:color w:val="0000FF"/>
          </w:rPr>
          <w:t>Часть 8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9.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r:id="rId19" w:history="1">
        <w:r>
          <w:rPr>
            <w:rFonts w:ascii="Calibri" w:hAnsi="Calibri" w:cs="Calibri"/>
            <w:i/>
            <w:iCs/>
            <w:color w:val="0000FF"/>
          </w:rPr>
          <w:t>стандартов</w:t>
        </w:r>
      </w:hyperlink>
      <w:r>
        <w:rPr>
          <w:rFonts w:ascii="Calibri" w:hAnsi="Calibri" w:cs="Calibri"/>
          <w:i/>
          <w:iCs/>
        </w:rPr>
        <w:t xml:space="preserve"> и требований соответствующих федеральных государственных образовательных </w:t>
      </w:r>
      <w:hyperlink r:id="rId20" w:history="1">
        <w:r>
          <w:rPr>
            <w:rFonts w:ascii="Calibri" w:hAnsi="Calibri" w:cs="Calibri"/>
            <w:i/>
            <w:iCs/>
            <w:color w:val="0000FF"/>
          </w:rPr>
          <w:t>стандартов</w:t>
        </w:r>
      </w:hyperlink>
      <w:r>
        <w:rPr>
          <w:rFonts w:ascii="Calibri" w:hAnsi="Calibri" w:cs="Calibri"/>
          <w:i/>
          <w:iCs/>
        </w:rPr>
        <w:t xml:space="preserve"> среднего профессионального и (или) высшего образования к результатам освоения образовательных программ &lt;10&gt;.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&lt;10&gt; </w:t>
      </w:r>
      <w:hyperlink r:id="rId21" w:history="1">
        <w:r>
          <w:rPr>
            <w:rFonts w:ascii="Calibri" w:hAnsi="Calibri" w:cs="Calibri"/>
            <w:i/>
            <w:iCs/>
            <w:color w:val="0000FF"/>
          </w:rPr>
          <w:t>Часть 10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10. При наличии примерной дополнительной профессиональной программы или типовой дополнительной профессиональной программы, разработанной и утвержденной уполномоченным федеральным государственным органом в случаях, установленных Федеральным </w:t>
      </w:r>
      <w:hyperlink r:id="rId22" w:history="1">
        <w:r>
          <w:rPr>
            <w:rFonts w:ascii="Calibri" w:hAnsi="Calibri" w:cs="Calibri"/>
            <w:i/>
            <w:iCs/>
            <w:color w:val="0000FF"/>
          </w:rPr>
          <w:t>законом</w:t>
        </w:r>
      </w:hyperlink>
      <w:r>
        <w:rPr>
          <w:rFonts w:ascii="Calibri" w:hAnsi="Calibri" w:cs="Calibri"/>
          <w:i/>
          <w:iCs/>
        </w:rPr>
        <w:t xml:space="preserve"> N 273-ФЗ, соответствующая дополнительная профессиональная программа разрабатывается в соответствии с примерной дополнительной профессиональной программой или типовой дополнительной профессиональной программой &lt;11&gt;.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&lt;11&gt; </w:t>
      </w:r>
      <w:hyperlink r:id="rId23" w:history="1">
        <w:r>
          <w:rPr>
            <w:rFonts w:ascii="Calibri" w:hAnsi="Calibri" w:cs="Calibri"/>
            <w:i/>
            <w:iCs/>
            <w:color w:val="0000FF"/>
          </w:rPr>
          <w:t>Части 14</w:t>
        </w:r>
      </w:hyperlink>
      <w:r>
        <w:rPr>
          <w:rFonts w:ascii="Calibri" w:hAnsi="Calibri" w:cs="Calibri"/>
          <w:i/>
          <w:iCs/>
        </w:rPr>
        <w:t xml:space="preserve"> и </w:t>
      </w:r>
      <w:hyperlink r:id="rId24" w:history="1">
        <w:r>
          <w:rPr>
            <w:rFonts w:ascii="Calibri" w:hAnsi="Calibri" w:cs="Calibri"/>
            <w:i/>
            <w:iCs/>
            <w:color w:val="0000FF"/>
          </w:rPr>
          <w:t>15 статьи 12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11.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&lt;12&gt;.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&lt;12&gt; </w:t>
      </w:r>
      <w:hyperlink r:id="rId25" w:history="1">
        <w:r>
          <w:rPr>
            <w:rFonts w:ascii="Calibri" w:hAnsi="Calibri" w:cs="Calibri"/>
            <w:i/>
            <w:iCs/>
            <w:color w:val="0000FF"/>
          </w:rPr>
          <w:t>Части 4</w:t>
        </w:r>
      </w:hyperlink>
      <w:r>
        <w:rPr>
          <w:rFonts w:ascii="Calibri" w:hAnsi="Calibri" w:cs="Calibri"/>
          <w:i/>
          <w:iCs/>
        </w:rPr>
        <w:t xml:space="preserve"> и </w:t>
      </w:r>
      <w:hyperlink r:id="rId26" w:history="1">
        <w:r>
          <w:rPr>
            <w:rFonts w:ascii="Calibri" w:hAnsi="Calibri" w:cs="Calibri"/>
            <w:i/>
            <w:iCs/>
            <w:color w:val="0000FF"/>
          </w:rPr>
          <w:t>5 статьи 13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Структура дополнительной профессиональной программы включает цель, а также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форм аттестации &lt;13&gt;.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&lt;13&gt; </w:t>
      </w:r>
      <w:hyperlink r:id="rId27" w:history="1">
        <w:r>
          <w:rPr>
            <w:rFonts w:ascii="Calibri" w:hAnsi="Calibri" w:cs="Calibri"/>
            <w:i/>
            <w:iCs/>
            <w:color w:val="0000FF"/>
          </w:rPr>
          <w:t>Пункт 9 статьи 2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В структуре программы профессиональной переподготовки должны быть представлены: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По решению организации в состав дополнительной профессиональной программы могут быть включены иные материалы.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12. Дополнительная профессиональная программа может реализовываться полностью или частично в форме стажировки &lt;14&gt;.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&lt;14&gt; </w:t>
      </w:r>
      <w:hyperlink r:id="rId28" w:history="1">
        <w:r>
          <w:rPr>
            <w:rFonts w:ascii="Calibri" w:hAnsi="Calibri" w:cs="Calibri"/>
            <w:i/>
            <w:iCs/>
            <w:color w:val="0000FF"/>
          </w:rPr>
          <w:t>Часть 12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приобретения практических навыков и умений для их эффективного использования при исполнении своих должностных обязанностей.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Содержание стажировки определяется организацией с учетом предложений организаций, направляющих специалистов на стажировку, а также с учетом содержания примерных или типовых дополнительных профессиональных программ (при наличии).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Стажировка носит индивидуальный или групповой характер и может предусматривать такие виды деятельности, как: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самостоятельную работу с учебными изданиями;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приобретение профессиональных и организаторских навыков;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изучение организации и технологии производства, работ;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непосредственное участие в планировании работы организации;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работу с технической, нормативной и другой документацией;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участие в совещаниях, деловых встречах.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13.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дополнительной профессиональной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(или) электронного обучения &lt;15&gt;.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&lt;15&gt; </w:t>
      </w:r>
      <w:hyperlink r:id="rId29" w:history="1">
        <w:r>
          <w:rPr>
            <w:rFonts w:ascii="Calibri" w:hAnsi="Calibri" w:cs="Calibri"/>
            <w:i/>
            <w:iCs/>
            <w:color w:val="0000FF"/>
          </w:rPr>
          <w:t>Часть 3 статьи 13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Обучение по индивидуальном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&lt;16&gt;.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&lt;16&gt; </w:t>
      </w:r>
      <w:hyperlink r:id="rId30" w:history="1">
        <w:r>
          <w:rPr>
            <w:rFonts w:ascii="Calibri" w:hAnsi="Calibri" w:cs="Calibri"/>
            <w:i/>
            <w:iCs/>
            <w:color w:val="0000FF"/>
          </w:rPr>
          <w:t>Пункт 3 части 1 статьи 34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14.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 &lt;17&gt;.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&lt;17&gt; </w:t>
      </w:r>
      <w:hyperlink r:id="rId31" w:history="1">
        <w:r>
          <w:rPr>
            <w:rFonts w:ascii="Calibri" w:hAnsi="Calibri" w:cs="Calibri"/>
            <w:i/>
            <w:iCs/>
            <w:color w:val="0000FF"/>
          </w:rPr>
          <w:t>Часть 11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15. Образовательный процесс по дополнительным профессиональным программам может осуществляться в течение всего календарного года.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Срок начала и продолжительность учебного года при организации обучения по дополнительным профессиональным программам определяется организацией.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Период обучения определяется календарным учебным графиком дополнительной профессиональной программы.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16.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Для всех видов аудиторных занятий академический час устанавливается продолжительностью 45 минут.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17. Слушатель имеет право на зачет результатов освоения им учебных предметов, курсов, дисциплин (модулей), практики, дополнительных образовательных программ, подтверждаемых документами об образовании и (или) о квалификации либо документами об обучении, в том числе полученными в иностранном государстве, в порядке, установленном локальным нормативным актом организации &lt;18&gt;.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&lt;18&gt; </w:t>
      </w:r>
      <w:hyperlink r:id="rId32" w:history="1">
        <w:r>
          <w:rPr>
            <w:rFonts w:ascii="Calibri" w:hAnsi="Calibri" w:cs="Calibri"/>
            <w:i/>
            <w:iCs/>
            <w:color w:val="0000FF"/>
          </w:rPr>
          <w:t>Пункт 7 части 1 статьи 34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273-ФЗ, </w:t>
      </w:r>
      <w:hyperlink r:id="rId33" w:history="1">
        <w:r>
          <w:rPr>
            <w:rFonts w:ascii="Calibri" w:hAnsi="Calibri" w:cs="Calibri"/>
            <w:i/>
            <w:iCs/>
            <w:color w:val="0000FF"/>
          </w:rPr>
          <w:t>Порядок</w:t>
        </w:r>
      </w:hyperlink>
      <w:r>
        <w:rPr>
          <w:rFonts w:ascii="Calibri" w:hAnsi="Calibri" w:cs="Calibri"/>
          <w:i/>
          <w:iCs/>
        </w:rP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утвержденный приказом Министерства науки и высшего образования Российской Федерации и Министерства просвещения Российской Федерации от 30 июля 2020 г. N 845/369 (зарегистрирован Министерством юстиции Российской Федерации 28 августа 2020 г., регистрационный N 59557).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18.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&lt;19&gt;.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&lt;19&gt; </w:t>
      </w:r>
      <w:hyperlink r:id="rId34" w:history="1">
        <w:r>
          <w:rPr>
            <w:rFonts w:ascii="Calibri" w:hAnsi="Calibri" w:cs="Calibri"/>
            <w:i/>
            <w:iCs/>
            <w:color w:val="0000FF"/>
          </w:rPr>
          <w:t>Часть 13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Срок освоения программы повышения квалификация не может быть менее 16 часов, срок освоения программ профессиональной переподготовки - менее 250 часов.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19. Освоение дополнительных профессиональных программ завершается итоговой аттестацией слушателей в форме, определяемой организацией самостоятельно &lt;20&gt;.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&lt;20&gt; </w:t>
      </w:r>
      <w:hyperlink r:id="rId35" w:history="1">
        <w:r>
          <w:rPr>
            <w:rFonts w:ascii="Calibri" w:hAnsi="Calibri" w:cs="Calibri"/>
            <w:i/>
            <w:iCs/>
            <w:color w:val="0000FF"/>
          </w:rPr>
          <w:t>Часть 14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20. Документы о квалификации выдаются организациями по реализуемым ими дополнительным профессиональным программам &lt;21&gt;: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&lt;21&gt; </w:t>
      </w:r>
      <w:hyperlink r:id="rId36" w:history="1">
        <w:r>
          <w:rPr>
            <w:rFonts w:ascii="Calibri" w:hAnsi="Calibri" w:cs="Calibri"/>
            <w:i/>
            <w:iCs/>
            <w:color w:val="0000FF"/>
          </w:rPr>
          <w:t>Пункт 1 части 10 статьи 60</w:t>
        </w:r>
      </w:hyperlink>
      <w:r>
        <w:rPr>
          <w:rFonts w:ascii="Calibri" w:hAnsi="Calibri" w:cs="Calibri"/>
          <w:i/>
          <w:iCs/>
        </w:rPr>
        <w:t xml:space="preserve"> и </w:t>
      </w:r>
      <w:hyperlink r:id="rId37" w:history="1">
        <w:r>
          <w:rPr>
            <w:rFonts w:ascii="Calibri" w:hAnsi="Calibri" w:cs="Calibri"/>
            <w:i/>
            <w:iCs/>
            <w:color w:val="0000FF"/>
          </w:rPr>
          <w:t>часть 15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лицам, успешно прошедшим итоговую аттестацию по программе повышения квалификации, - удостоверение о повышении квалификации;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лицам, успешно прошедшим итоговую аттестацию по программе профессиональной переподготовки, - диплом о профессиональной переподготовке.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 &lt;22&gt;.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&lt;22&gt; </w:t>
      </w:r>
      <w:hyperlink r:id="rId38" w:history="1">
        <w:r>
          <w:rPr>
            <w:rFonts w:ascii="Calibri" w:hAnsi="Calibri" w:cs="Calibri"/>
            <w:i/>
            <w:iCs/>
            <w:color w:val="0000FF"/>
          </w:rPr>
          <w:t>Часть 11 статьи 60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 &lt;23&gt;.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&lt;23&gt; </w:t>
      </w:r>
      <w:hyperlink r:id="rId39" w:history="1">
        <w:r>
          <w:rPr>
            <w:rFonts w:ascii="Calibri" w:hAnsi="Calibri" w:cs="Calibri"/>
            <w:i/>
            <w:iCs/>
            <w:color w:val="0000FF"/>
          </w:rPr>
          <w:t>Часть 12 статьи 60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21. Документ о квалификации выдается на бланке, образец которого самостоятельно устанавливается организацией.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&lt;24&gt;.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&lt;24&gt; </w:t>
      </w:r>
      <w:hyperlink r:id="rId40" w:history="1">
        <w:r>
          <w:rPr>
            <w:rFonts w:ascii="Calibri" w:hAnsi="Calibri" w:cs="Calibri"/>
            <w:i/>
            <w:iCs/>
            <w:color w:val="0000FF"/>
          </w:rPr>
          <w:t>Часть 16 статьи 76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Документы о квалификации оформляются на государственном языке Российской Федерации и заверяются печатями организаций. Документы о квалификации могут быть также оформлены на иностранном языке в порядке, установленном организациями &lt;25&gt;.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--------------------------------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&lt;25&gt; </w:t>
      </w:r>
      <w:hyperlink r:id="rId41" w:history="1">
        <w:r>
          <w:rPr>
            <w:rFonts w:ascii="Calibri" w:hAnsi="Calibri" w:cs="Calibri"/>
            <w:i/>
            <w:iCs/>
            <w:color w:val="0000FF"/>
          </w:rPr>
          <w:t>Часть 2 статьи 60</w:t>
        </w:r>
      </w:hyperlink>
      <w:r>
        <w:rPr>
          <w:rFonts w:ascii="Calibri" w:hAnsi="Calibri" w:cs="Calibri"/>
          <w:i/>
          <w:iCs/>
        </w:rPr>
        <w:t xml:space="preserve"> Федерального закона N 273-ФЗ.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Документы о квалификации выдаются в срок, установленный локальным нормативным актом организации.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22. Оценка качества освоения дополнительных профессиональных программ проводится в отношении: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23. Оценка качества освоения дополнительных профессиональных программ проводится в следующих формах: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внутренний мониторинг качества образования;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внешняя независимая оценка качества образования.</w:t>
      </w:r>
    </w:p>
    <w:p w:rsidR="00E575E5" w:rsidRDefault="00E575E5" w:rsidP="00E575E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  <w:iCs/>
        </w:rPr>
      </w:pPr>
    </w:p>
    <w:p w:rsidR="00E575E5" w:rsidRDefault="00E575E5" w:rsidP="00E575E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i/>
          <w:iCs/>
          <w:sz w:val="2"/>
          <w:szCs w:val="2"/>
        </w:rPr>
      </w:pPr>
    </w:p>
    <w:p w:rsidR="00757FDD" w:rsidRPr="00E575E5" w:rsidRDefault="00757FDD" w:rsidP="00E575E5">
      <w:bookmarkStart w:id="1" w:name="_GoBack"/>
      <w:bookmarkEnd w:id="1"/>
    </w:p>
    <w:sectPr w:rsidR="00757FDD" w:rsidRPr="00E575E5" w:rsidSect="0059594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E5"/>
    <w:rsid w:val="00757FDD"/>
    <w:rsid w:val="00E5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294CC-32FB-4452-9963-7742D787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253&amp;dst=101009" TargetMode="External"/><Relationship Id="rId18" Type="http://schemas.openxmlformats.org/officeDocument/2006/relationships/hyperlink" Target="https://login.consultant.ru/link/?req=doc&amp;base=LAW&amp;n=511253&amp;dst=256" TargetMode="External"/><Relationship Id="rId26" Type="http://schemas.openxmlformats.org/officeDocument/2006/relationships/hyperlink" Target="https://login.consultant.ru/link/?req=doc&amp;base=LAW&amp;n=511253&amp;dst=471" TargetMode="External"/><Relationship Id="rId39" Type="http://schemas.openxmlformats.org/officeDocument/2006/relationships/hyperlink" Target="https://login.consultant.ru/link/?req=doc&amp;base=LAW&amp;n=511253&amp;dst=100847" TargetMode="External"/><Relationship Id="rId21" Type="http://schemas.openxmlformats.org/officeDocument/2006/relationships/hyperlink" Target="https://login.consultant.ru/link/?req=doc&amp;base=LAW&amp;n=511253&amp;dst=101014" TargetMode="External"/><Relationship Id="rId34" Type="http://schemas.openxmlformats.org/officeDocument/2006/relationships/hyperlink" Target="https://login.consultant.ru/link/?req=doc&amp;base=LAW&amp;n=511253&amp;dst=10101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576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53" TargetMode="External"/><Relationship Id="rId20" Type="http://schemas.openxmlformats.org/officeDocument/2006/relationships/hyperlink" Target="https://login.consultant.ru/link/?req=doc&amp;base=LAW&amp;n=142304" TargetMode="External"/><Relationship Id="rId29" Type="http://schemas.openxmlformats.org/officeDocument/2006/relationships/hyperlink" Target="https://login.consultant.ru/link/?req=doc&amp;base=LAW&amp;n=511253&amp;dst=100240" TargetMode="External"/><Relationship Id="rId41" Type="http://schemas.openxmlformats.org/officeDocument/2006/relationships/hyperlink" Target="https://login.consultant.ru/link/?req=doc&amp;base=LAW&amp;n=511253&amp;dst=1008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7691" TargetMode="External"/><Relationship Id="rId11" Type="http://schemas.openxmlformats.org/officeDocument/2006/relationships/hyperlink" Target="https://login.consultant.ru/link/?req=doc&amp;base=LAW&amp;n=511253&amp;dst=101004" TargetMode="External"/><Relationship Id="rId24" Type="http://schemas.openxmlformats.org/officeDocument/2006/relationships/hyperlink" Target="https://login.consultant.ru/link/?req=doc&amp;base=LAW&amp;n=511253&amp;dst=685" TargetMode="External"/><Relationship Id="rId32" Type="http://schemas.openxmlformats.org/officeDocument/2006/relationships/hyperlink" Target="https://login.consultant.ru/link/?req=doc&amp;base=LAW&amp;n=511253&amp;dst=373" TargetMode="External"/><Relationship Id="rId37" Type="http://schemas.openxmlformats.org/officeDocument/2006/relationships/hyperlink" Target="https://login.consultant.ru/link/?req=doc&amp;base=LAW&amp;n=511253&amp;dst=101019" TargetMode="External"/><Relationship Id="rId40" Type="http://schemas.openxmlformats.org/officeDocument/2006/relationships/hyperlink" Target="https://login.consultant.ru/link/?req=doc&amp;base=LAW&amp;n=511253&amp;dst=101020" TargetMode="External"/><Relationship Id="rId5" Type="http://schemas.openxmlformats.org/officeDocument/2006/relationships/hyperlink" Target="https://login.consultant.ru/link/?req=doc&amp;base=LAW&amp;n=503035&amp;dst=100027" TargetMode="External"/><Relationship Id="rId15" Type="http://schemas.openxmlformats.org/officeDocument/2006/relationships/hyperlink" Target="https://login.consultant.ru/link/?req=doc&amp;base=LAW&amp;n=511253&amp;dst=101013" TargetMode="External"/><Relationship Id="rId23" Type="http://schemas.openxmlformats.org/officeDocument/2006/relationships/hyperlink" Target="https://login.consultant.ru/link/?req=doc&amp;base=LAW&amp;n=511253&amp;dst=100235" TargetMode="External"/><Relationship Id="rId28" Type="http://schemas.openxmlformats.org/officeDocument/2006/relationships/hyperlink" Target="https://login.consultant.ru/link/?req=doc&amp;base=LAW&amp;n=511253&amp;dst=101016" TargetMode="External"/><Relationship Id="rId36" Type="http://schemas.openxmlformats.org/officeDocument/2006/relationships/hyperlink" Target="https://login.consultant.ru/link/?req=doc&amp;base=LAW&amp;n=511253&amp;dst=100844" TargetMode="External"/><Relationship Id="rId10" Type="http://schemas.openxmlformats.org/officeDocument/2006/relationships/hyperlink" Target="https://login.consultant.ru/link/?req=doc&amp;base=LAW&amp;n=511253&amp;dst=101005" TargetMode="External"/><Relationship Id="rId19" Type="http://schemas.openxmlformats.org/officeDocument/2006/relationships/hyperlink" Target="https://login.consultant.ru/link/?req=doc&amp;base=LAW&amp;n=157436" TargetMode="External"/><Relationship Id="rId31" Type="http://schemas.openxmlformats.org/officeDocument/2006/relationships/hyperlink" Target="https://login.consultant.ru/link/?req=doc&amp;base=LAW&amp;n=511253&amp;dst=101015" TargetMode="External"/><Relationship Id="rId4" Type="http://schemas.openxmlformats.org/officeDocument/2006/relationships/hyperlink" Target="https://login.consultant.ru/link/?req=doc&amp;base=LAW&amp;n=511253&amp;dst=215" TargetMode="External"/><Relationship Id="rId9" Type="http://schemas.openxmlformats.org/officeDocument/2006/relationships/hyperlink" Target="https://login.consultant.ru/link/?req=doc&amp;base=LAW&amp;n=511253&amp;dst=100742" TargetMode="External"/><Relationship Id="rId14" Type="http://schemas.openxmlformats.org/officeDocument/2006/relationships/hyperlink" Target="https://login.consultant.ru/link/?req=doc&amp;base=LAW&amp;n=157436" TargetMode="External"/><Relationship Id="rId22" Type="http://schemas.openxmlformats.org/officeDocument/2006/relationships/hyperlink" Target="https://login.consultant.ru/link/?req=doc&amp;base=LAW&amp;n=511253" TargetMode="External"/><Relationship Id="rId27" Type="http://schemas.openxmlformats.org/officeDocument/2006/relationships/hyperlink" Target="https://login.consultant.ru/link/?req=doc&amp;base=LAW&amp;n=511253&amp;dst=441" TargetMode="External"/><Relationship Id="rId30" Type="http://schemas.openxmlformats.org/officeDocument/2006/relationships/hyperlink" Target="https://login.consultant.ru/link/?req=doc&amp;base=LAW&amp;n=511253&amp;dst=100480" TargetMode="External"/><Relationship Id="rId35" Type="http://schemas.openxmlformats.org/officeDocument/2006/relationships/hyperlink" Target="https://login.consultant.ru/link/?req=doc&amp;base=LAW&amp;n=511253&amp;dst=10101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11253&amp;dst=9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253&amp;dst=101008" TargetMode="External"/><Relationship Id="rId17" Type="http://schemas.openxmlformats.org/officeDocument/2006/relationships/hyperlink" Target="https://login.consultant.ru/link/?req=doc&amp;base=LAW&amp;n=511253&amp;dst=101010" TargetMode="External"/><Relationship Id="rId25" Type="http://schemas.openxmlformats.org/officeDocument/2006/relationships/hyperlink" Target="https://login.consultant.ru/link/?req=doc&amp;base=LAW&amp;n=511253&amp;dst=100241" TargetMode="External"/><Relationship Id="rId33" Type="http://schemas.openxmlformats.org/officeDocument/2006/relationships/hyperlink" Target="https://login.consultant.ru/link/?req=doc&amp;base=LAW&amp;n=360918&amp;dst=100012" TargetMode="External"/><Relationship Id="rId38" Type="http://schemas.openxmlformats.org/officeDocument/2006/relationships/hyperlink" Target="https://login.consultant.ru/link/?req=doc&amp;base=LAW&amp;n=511253&amp;dst=100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3073</Words>
  <Characters>17517</Characters>
  <Application>Microsoft Office Word</Application>
  <DocSecurity>0</DocSecurity>
  <Lines>145</Lines>
  <Paragraphs>41</Paragraphs>
  <ScaleCrop>false</ScaleCrop>
  <Company/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Анна Александровна</dc:creator>
  <cp:keywords/>
  <dc:description/>
  <cp:lastModifiedBy>Медведева Анна Александровна</cp:lastModifiedBy>
  <cp:revision>1</cp:revision>
  <dcterms:created xsi:type="dcterms:W3CDTF">2025-08-20T12:24:00Z</dcterms:created>
  <dcterms:modified xsi:type="dcterms:W3CDTF">2025-08-20T12:25:00Z</dcterms:modified>
</cp:coreProperties>
</file>